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0B8" w:rsidRDefault="00573695" w:rsidP="00517CB0">
      <w:pPr>
        <w:pStyle w:val="Titre"/>
      </w:pPr>
      <w:r>
        <w:t>Renvois d’angle</w:t>
      </w:r>
      <w:r>
        <w:br/>
        <w:t>Gamme complète</w:t>
      </w:r>
    </w:p>
    <w:p w:rsidR="00CC0B0B" w:rsidRDefault="005F1D6F" w:rsidP="00EC6247">
      <w:pPr>
        <w:pStyle w:val="Sansinterligne"/>
        <w:jc w:val="center"/>
      </w:pPr>
      <w:r>
        <w:rPr>
          <w:noProof/>
        </w:rPr>
        <w:drawing>
          <wp:inline distT="0" distB="0" distL="0" distR="0">
            <wp:extent cx="4314825" cy="3638550"/>
            <wp:effectExtent l="0" t="0" r="9525" b="0"/>
            <wp:docPr id="2" name="Image 2" descr="\\NAS-TRAVAIL-MKT\Marketing\GRINGOTTS\DocCommerciaux\DossierPresse\2017-2018\RenvoiDangle\RenvoiDang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TRAVAIL-MKT\Marketing\GRINGOTTS\DocCommerciaux\DossierPresse\2017-2018\RenvoiDangle\RenvoiDang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B0" w:rsidRDefault="00517CB0" w:rsidP="00517CB0">
      <w:pPr>
        <w:jc w:val="center"/>
      </w:pPr>
    </w:p>
    <w:p w:rsidR="00517CB0" w:rsidRDefault="00517CB0" w:rsidP="00517CB0">
      <w:pPr>
        <w:jc w:val="center"/>
      </w:pPr>
    </w:p>
    <w:p w:rsidR="000C12D1" w:rsidRDefault="000C12D1" w:rsidP="00517CB0">
      <w:pPr>
        <w:autoSpaceDE w:val="0"/>
        <w:autoSpaceDN w:val="0"/>
        <w:adjustRightInd w:val="0"/>
        <w:rPr>
          <w:rFonts w:eastAsiaTheme="minorHAnsi" w:cs="Tahoma"/>
          <w:b/>
          <w:szCs w:val="20"/>
          <w:lang w:eastAsia="en-US"/>
        </w:rPr>
      </w:pPr>
    </w:p>
    <w:p w:rsidR="00573695" w:rsidRDefault="00573695" w:rsidP="00AC28FF">
      <w:pPr>
        <w:autoSpaceDE w:val="0"/>
        <w:autoSpaceDN w:val="0"/>
        <w:adjustRightInd w:val="0"/>
        <w:rPr>
          <w:rFonts w:ascii="HelveticaNeue" w:eastAsiaTheme="minorHAnsi" w:hAnsi="HelveticaNeue" w:cs="HelveticaNeue"/>
          <w:color w:val="000000"/>
          <w:szCs w:val="20"/>
          <w:lang w:eastAsia="en-US"/>
        </w:rPr>
      </w:pPr>
      <w:r w:rsidRPr="00573695">
        <w:rPr>
          <w:rFonts w:ascii="HelveticaNeue" w:eastAsiaTheme="minorHAnsi" w:hAnsi="HelveticaNeue" w:cs="HelveticaNeue"/>
          <w:b/>
          <w:color w:val="000000"/>
          <w:szCs w:val="20"/>
          <w:lang w:eastAsia="en-US"/>
        </w:rPr>
        <w:t xml:space="preserve">Engrenages HPC </w:t>
      </w:r>
      <w:r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propose une famille complète de renvois d’angle convenant à de nombreuses applications industrielles où un transfert entre deux arbres à 90° est nécessaire. Les rapports de réductions et le choix de l’arbre de sortie offrent un large éventail de possibilités. </w:t>
      </w:r>
    </w:p>
    <w:p w:rsidR="004C7294" w:rsidRDefault="004C7294" w:rsidP="00AC28FF">
      <w:pPr>
        <w:autoSpaceDE w:val="0"/>
        <w:autoSpaceDN w:val="0"/>
        <w:adjustRightInd w:val="0"/>
        <w:rPr>
          <w:rFonts w:ascii="HelveticaNeue" w:eastAsiaTheme="minorHAnsi" w:hAnsi="HelveticaNeue" w:cs="HelveticaNeue"/>
          <w:color w:val="000000"/>
          <w:szCs w:val="20"/>
          <w:lang w:eastAsia="en-US"/>
        </w:rPr>
      </w:pPr>
    </w:p>
    <w:p w:rsidR="00573695" w:rsidRPr="002A2A7F" w:rsidRDefault="00573695" w:rsidP="004C7294">
      <w:pPr>
        <w:autoSpaceDE w:val="0"/>
        <w:autoSpaceDN w:val="0"/>
        <w:adjustRightInd w:val="0"/>
        <w:rPr>
          <w:rFonts w:ascii="HelveticaNeue" w:eastAsiaTheme="minorHAnsi" w:hAnsi="HelveticaNeue" w:cs="HelveticaNeue"/>
          <w:color w:val="000000"/>
          <w:szCs w:val="20"/>
          <w:lang w:eastAsia="en-US"/>
        </w:rPr>
      </w:pPr>
      <w:r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Deux gammes standards sont présentes au catalogue </w:t>
      </w:r>
      <w:r w:rsidRPr="004C7294">
        <w:rPr>
          <w:rFonts w:ascii="HelveticaNeue" w:eastAsiaTheme="minorHAnsi" w:hAnsi="HelveticaNeue" w:cs="HelveticaNeue"/>
          <w:b/>
          <w:color w:val="000000"/>
          <w:szCs w:val="20"/>
          <w:lang w:eastAsia="en-US"/>
        </w:rPr>
        <w:t>HPC</w:t>
      </w:r>
      <w:r w:rsidR="002A2A7F"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. </w:t>
      </w:r>
      <w:r>
        <w:rPr>
          <w:rFonts w:ascii="HelveticaNeue" w:eastAsiaTheme="minorHAnsi" w:hAnsi="HelveticaNeue" w:cs="HelveticaNeue"/>
          <w:color w:val="000000"/>
          <w:szCs w:val="20"/>
          <w:lang w:eastAsia="en-US"/>
        </w:rPr>
        <w:t>Les renvois d’angle</w:t>
      </w:r>
      <w:r w:rsidR="002A2A7F"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 de types BLH, BLHT ou BLHB</w:t>
      </w:r>
      <w:r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 avec boitier aluminium anodisé sans évidement de moulage apportent robustesse et évitent la rétention de saletés</w:t>
      </w:r>
      <w:r w:rsidR="002A2A7F"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. </w:t>
      </w:r>
      <w:r w:rsidRPr="002A2A7F">
        <w:rPr>
          <w:rFonts w:ascii="HelveticaNeue" w:eastAsiaTheme="minorHAnsi" w:hAnsi="HelveticaNeue" w:cs="HelveticaNeue"/>
          <w:color w:val="000000"/>
          <w:szCs w:val="20"/>
          <w:lang w:eastAsia="en-US"/>
        </w:rPr>
        <w:t>Les renvois d’angle</w:t>
      </w:r>
      <w:r w:rsidR="002A2A7F" w:rsidRPr="002A2A7F"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 de type</w:t>
      </w:r>
      <w:r w:rsidR="002A2A7F">
        <w:rPr>
          <w:rFonts w:ascii="HelveticaNeue" w:eastAsiaTheme="minorHAnsi" w:hAnsi="HelveticaNeue" w:cs="HelveticaNeue"/>
          <w:color w:val="000000"/>
          <w:szCs w:val="20"/>
          <w:lang w:eastAsia="en-US"/>
        </w:rPr>
        <w:t>s</w:t>
      </w:r>
      <w:r w:rsidR="002A2A7F" w:rsidRPr="002A2A7F"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 CHT</w:t>
      </w:r>
      <w:r w:rsidR="002A2A7F"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RB ou CHTRP </w:t>
      </w:r>
      <w:r w:rsidRPr="002A2A7F">
        <w:rPr>
          <w:rFonts w:ascii="HelveticaNeue" w:eastAsiaTheme="minorHAnsi" w:hAnsi="HelveticaNeue" w:cs="HelveticaNeue"/>
          <w:color w:val="000000"/>
          <w:szCs w:val="20"/>
          <w:lang w:eastAsia="en-US"/>
        </w:rPr>
        <w:t>avec boitier en fonte d’aluminium offrent, quant à eux, un excellent rapport qualité/prix</w:t>
      </w:r>
      <w:r w:rsidR="002A2A7F">
        <w:rPr>
          <w:rFonts w:ascii="HelveticaNeue" w:eastAsiaTheme="minorHAnsi" w:hAnsi="HelveticaNeue" w:cs="HelveticaNeue"/>
          <w:color w:val="000000"/>
          <w:szCs w:val="20"/>
          <w:lang w:eastAsia="en-US"/>
        </w:rPr>
        <w:t>.</w:t>
      </w:r>
      <w:r w:rsidR="002A2A7F" w:rsidRPr="002A2A7F"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 </w:t>
      </w:r>
      <w:r w:rsidR="002A2A7F"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Tous </w:t>
      </w:r>
      <w:r w:rsidR="004C7294">
        <w:rPr>
          <w:rFonts w:ascii="HelveticaNeue" w:eastAsiaTheme="minorHAnsi" w:hAnsi="HelveticaNeue" w:cs="HelveticaNeue"/>
          <w:color w:val="000000"/>
          <w:szCs w:val="20"/>
          <w:lang w:eastAsia="en-US"/>
        </w:rPr>
        <w:t>c</w:t>
      </w:r>
      <w:r w:rsidR="002A2A7F">
        <w:rPr>
          <w:rFonts w:ascii="HelveticaNeue" w:eastAsiaTheme="minorHAnsi" w:hAnsi="HelveticaNeue" w:cs="HelveticaNeue"/>
          <w:color w:val="000000"/>
          <w:szCs w:val="20"/>
          <w:lang w:eastAsia="en-US"/>
        </w:rPr>
        <w:t>es modèles sont disponibles en plusieurs tailles avec une vitesse maxi en entrée de 2000 à 4000t/min selon les références.</w:t>
      </w:r>
      <w:r w:rsidR="004C7294" w:rsidRPr="004C7294">
        <w:t xml:space="preserve"> </w:t>
      </w:r>
      <w:r w:rsidR="004C7294" w:rsidRPr="004C7294">
        <w:rPr>
          <w:rFonts w:ascii="HelveticaNeue" w:eastAsiaTheme="minorHAnsi" w:hAnsi="HelveticaNeue" w:cs="HelveticaNeue"/>
          <w:color w:val="000000"/>
          <w:szCs w:val="20"/>
          <w:lang w:eastAsia="en-US"/>
        </w:rPr>
        <w:t>En</w:t>
      </w:r>
      <w:r w:rsidR="004C7294"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 </w:t>
      </w:r>
      <w:r w:rsidR="004C7294" w:rsidRPr="004C7294">
        <w:rPr>
          <w:rFonts w:ascii="HelveticaNeue" w:eastAsiaTheme="minorHAnsi" w:hAnsi="HelveticaNeue" w:cs="HelveticaNeue"/>
          <w:color w:val="000000"/>
          <w:szCs w:val="20"/>
          <w:lang w:eastAsia="en-US"/>
        </w:rPr>
        <w:t>fonction de l’arbre de sortie choisi, le sens de rotation est conservé ou inversé.</w:t>
      </w:r>
    </w:p>
    <w:p w:rsidR="00573695" w:rsidRDefault="00573695" w:rsidP="00AC28FF">
      <w:pPr>
        <w:autoSpaceDE w:val="0"/>
        <w:autoSpaceDN w:val="0"/>
        <w:adjustRightInd w:val="0"/>
        <w:rPr>
          <w:rFonts w:ascii="HelveticaNeue" w:eastAsiaTheme="minorHAnsi" w:hAnsi="HelveticaNeue" w:cs="HelveticaNeue"/>
          <w:color w:val="000000"/>
          <w:szCs w:val="20"/>
          <w:lang w:eastAsia="en-US"/>
        </w:rPr>
      </w:pPr>
    </w:p>
    <w:p w:rsidR="002A2A7F" w:rsidRPr="00573695" w:rsidRDefault="00573695" w:rsidP="00AC28FF">
      <w:pPr>
        <w:autoSpaceDE w:val="0"/>
        <w:autoSpaceDN w:val="0"/>
        <w:adjustRightInd w:val="0"/>
      </w:pPr>
      <w:r>
        <w:rPr>
          <w:rFonts w:ascii="HelveticaNeue" w:eastAsiaTheme="minorHAnsi" w:hAnsi="HelveticaNeue" w:cs="HelveticaNeue"/>
          <w:color w:val="000000"/>
          <w:szCs w:val="20"/>
          <w:lang w:eastAsia="en-US"/>
        </w:rPr>
        <w:t>Parmi ces renvois d’angle en L ou T, à arbres creux, pleins ou les deux, de nombreux modèles du rapport 1 :1 à 4 :1 sont disponibles en stock pour une livraison rapide.</w:t>
      </w:r>
      <w:r w:rsidR="002A2A7F"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 De plus, en cas de besoin spécifiques (raccourcir un arbre, changer un diamètre, faire évoluer le boitier…),</w:t>
      </w:r>
      <w:r w:rsidR="00EB4067"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 selon les modèles</w:t>
      </w:r>
      <w:bookmarkStart w:id="0" w:name="_GoBack"/>
      <w:bookmarkEnd w:id="0"/>
      <w:r w:rsidR="002A2A7F"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 </w:t>
      </w:r>
      <w:r w:rsidR="002A2A7F" w:rsidRPr="003218EB">
        <w:rPr>
          <w:rFonts w:ascii="HelveticaNeue" w:eastAsiaTheme="minorHAnsi" w:hAnsi="HelveticaNeue" w:cs="HelveticaNeue"/>
          <w:b/>
          <w:color w:val="000000"/>
          <w:szCs w:val="20"/>
          <w:lang w:eastAsia="en-US"/>
        </w:rPr>
        <w:t>Engrenages HPC</w:t>
      </w:r>
      <w:r w:rsidR="002A2A7F">
        <w:rPr>
          <w:rFonts w:ascii="HelveticaNeue" w:eastAsiaTheme="minorHAnsi" w:hAnsi="HelveticaNeue" w:cs="HelveticaNeue"/>
          <w:color w:val="000000"/>
          <w:szCs w:val="20"/>
          <w:lang w:eastAsia="en-US"/>
        </w:rPr>
        <w:t xml:space="preserve"> propose aussi la réalisation de renvois d’angle sur mesure.</w:t>
      </w:r>
    </w:p>
    <w:sectPr w:rsidR="002A2A7F" w:rsidRPr="0057369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6428" w:rsidRDefault="00A86428" w:rsidP="00BE03DA">
      <w:r>
        <w:separator/>
      </w:r>
    </w:p>
  </w:endnote>
  <w:endnote w:type="continuationSeparator" w:id="0">
    <w:p w:rsidR="00A86428" w:rsidRDefault="00A86428" w:rsidP="00BE0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3DA" w:rsidRDefault="00BE03DA" w:rsidP="00BE03DA">
    <w:pPr>
      <w:pStyle w:val="Pieddepage"/>
      <w:pBdr>
        <w:bottom w:val="single" w:sz="18" w:space="1" w:color="FF0000"/>
      </w:pBdr>
    </w:pPr>
    <w:r>
      <w:t xml:space="preserve">Texte et photo numérique disponible sur </w:t>
    </w:r>
    <w:hyperlink r:id="rId1" w:history="1">
      <w:r w:rsidRPr="00B6004B">
        <w:rPr>
          <w:rStyle w:val="Lienhypertexte"/>
          <w:b/>
        </w:rPr>
        <w:t>www.hpceurope.com</w:t>
      </w:r>
    </w:hyperlink>
    <w:r>
      <w:t xml:space="preserve"> rubrique </w:t>
    </w:r>
    <w:r w:rsidRPr="00B6004B">
      <w:rPr>
        <w:b/>
      </w:rPr>
      <w:t>Presse</w:t>
    </w:r>
  </w:p>
  <w:p w:rsidR="00BE03DA" w:rsidRDefault="00BE03D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6428" w:rsidRDefault="00A86428" w:rsidP="00BE03DA">
      <w:r>
        <w:separator/>
      </w:r>
    </w:p>
  </w:footnote>
  <w:footnote w:type="continuationSeparator" w:id="0">
    <w:p w:rsidR="00A86428" w:rsidRDefault="00A86428" w:rsidP="00BE03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3DA" w:rsidRDefault="00BE03DA" w:rsidP="00BE03DA">
    <w:pPr>
      <w:pStyle w:val="En-tte"/>
      <w:pBdr>
        <w:bottom w:val="single" w:sz="18" w:space="1" w:color="FF0000"/>
      </w:pBdr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FA29449" wp14:editId="0B1F8C1D">
          <wp:simplePos x="0" y="0"/>
          <wp:positionH relativeFrom="column">
            <wp:posOffset>0</wp:posOffset>
          </wp:positionH>
          <wp:positionV relativeFrom="paragraph">
            <wp:posOffset>-125730</wp:posOffset>
          </wp:positionV>
          <wp:extent cx="561975" cy="255297"/>
          <wp:effectExtent l="0" t="0" r="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PCLogoWeb_rvb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255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Rédactionnel 201</w:t>
    </w:r>
    <w:r w:rsidR="00AC28FF">
      <w:t>8</w:t>
    </w:r>
  </w:p>
  <w:p w:rsidR="00BE03DA" w:rsidRDefault="00BE03D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935D7"/>
    <w:multiLevelType w:val="hybridMultilevel"/>
    <w:tmpl w:val="24CE59F8"/>
    <w:lvl w:ilvl="0" w:tplc="8CFE73E8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7F664E"/>
    <w:multiLevelType w:val="hybridMultilevel"/>
    <w:tmpl w:val="625CC47A"/>
    <w:lvl w:ilvl="0" w:tplc="1A4C589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936416"/>
    <w:multiLevelType w:val="hybridMultilevel"/>
    <w:tmpl w:val="F1DE7162"/>
    <w:lvl w:ilvl="0" w:tplc="86A00B90">
      <w:numFmt w:val="bullet"/>
      <w:lvlText w:val="-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1E4A59"/>
    <w:multiLevelType w:val="hybridMultilevel"/>
    <w:tmpl w:val="6814307C"/>
    <w:lvl w:ilvl="0" w:tplc="CAE8C1C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9346DF"/>
    <w:multiLevelType w:val="hybridMultilevel"/>
    <w:tmpl w:val="65A04228"/>
    <w:lvl w:ilvl="0" w:tplc="DCC8857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1E7434"/>
    <w:multiLevelType w:val="hybridMultilevel"/>
    <w:tmpl w:val="4A4EE9A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FF30DF"/>
    <w:multiLevelType w:val="hybridMultilevel"/>
    <w:tmpl w:val="A31880DE"/>
    <w:lvl w:ilvl="0" w:tplc="33186FD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C35C48"/>
    <w:multiLevelType w:val="hybridMultilevel"/>
    <w:tmpl w:val="2A44ECB6"/>
    <w:lvl w:ilvl="0" w:tplc="48B4948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1B1B45"/>
    <w:multiLevelType w:val="hybridMultilevel"/>
    <w:tmpl w:val="33383744"/>
    <w:lvl w:ilvl="0" w:tplc="317A9366">
      <w:numFmt w:val="bullet"/>
      <w:lvlText w:val="-"/>
      <w:lvlJc w:val="left"/>
      <w:pPr>
        <w:ind w:left="720" w:hanging="360"/>
      </w:pPr>
      <w:rPr>
        <w:rFonts w:ascii="HelveticaNeue" w:eastAsiaTheme="minorHAnsi" w:hAnsi="HelveticaNeue" w:cs="HelveticaNeue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9325F6"/>
    <w:multiLevelType w:val="hybridMultilevel"/>
    <w:tmpl w:val="41303B62"/>
    <w:lvl w:ilvl="0" w:tplc="D9AADE0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323128"/>
    <w:multiLevelType w:val="hybridMultilevel"/>
    <w:tmpl w:val="30545160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F72DEF"/>
    <w:multiLevelType w:val="hybridMultilevel"/>
    <w:tmpl w:val="CDB08302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174370D"/>
    <w:multiLevelType w:val="hybridMultilevel"/>
    <w:tmpl w:val="5F7EF374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EA6E70"/>
    <w:multiLevelType w:val="hybridMultilevel"/>
    <w:tmpl w:val="8E18A7A8"/>
    <w:lvl w:ilvl="0" w:tplc="9134FE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F245719"/>
    <w:multiLevelType w:val="hybridMultilevel"/>
    <w:tmpl w:val="A95EF360"/>
    <w:lvl w:ilvl="0" w:tplc="0FACBA9C">
      <w:start w:val="2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6"/>
  </w:num>
  <w:num w:numId="4">
    <w:abstractNumId w:val="2"/>
  </w:num>
  <w:num w:numId="5">
    <w:abstractNumId w:val="11"/>
  </w:num>
  <w:num w:numId="6">
    <w:abstractNumId w:val="13"/>
  </w:num>
  <w:num w:numId="7">
    <w:abstractNumId w:val="12"/>
  </w:num>
  <w:num w:numId="8">
    <w:abstractNumId w:val="5"/>
  </w:num>
  <w:num w:numId="9">
    <w:abstractNumId w:val="10"/>
  </w:num>
  <w:num w:numId="10">
    <w:abstractNumId w:val="9"/>
  </w:num>
  <w:num w:numId="11">
    <w:abstractNumId w:val="3"/>
  </w:num>
  <w:num w:numId="12">
    <w:abstractNumId w:val="1"/>
  </w:num>
  <w:num w:numId="13">
    <w:abstractNumId w:val="0"/>
  </w:num>
  <w:num w:numId="14">
    <w:abstractNumId w:val="4"/>
  </w:num>
  <w:num w:numId="15">
    <w:abstractNumId w:val="7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067"/>
    <w:rsid w:val="00037592"/>
    <w:rsid w:val="00042898"/>
    <w:rsid w:val="00053D68"/>
    <w:rsid w:val="000925BC"/>
    <w:rsid w:val="000C12D1"/>
    <w:rsid w:val="001066DE"/>
    <w:rsid w:val="0012530F"/>
    <w:rsid w:val="00154302"/>
    <w:rsid w:val="001846E1"/>
    <w:rsid w:val="001B353C"/>
    <w:rsid w:val="002011DB"/>
    <w:rsid w:val="00233743"/>
    <w:rsid w:val="00257FD8"/>
    <w:rsid w:val="00274B6F"/>
    <w:rsid w:val="00287943"/>
    <w:rsid w:val="00290067"/>
    <w:rsid w:val="002A1F8C"/>
    <w:rsid w:val="002A2A7F"/>
    <w:rsid w:val="002B3403"/>
    <w:rsid w:val="002C1787"/>
    <w:rsid w:val="00304C83"/>
    <w:rsid w:val="003107E1"/>
    <w:rsid w:val="0032155E"/>
    <w:rsid w:val="003218EB"/>
    <w:rsid w:val="003230BD"/>
    <w:rsid w:val="00335B28"/>
    <w:rsid w:val="00337424"/>
    <w:rsid w:val="00353911"/>
    <w:rsid w:val="0036165B"/>
    <w:rsid w:val="00364537"/>
    <w:rsid w:val="00373C0F"/>
    <w:rsid w:val="003879E0"/>
    <w:rsid w:val="003B1183"/>
    <w:rsid w:val="003B6A55"/>
    <w:rsid w:val="003E6A18"/>
    <w:rsid w:val="003F4611"/>
    <w:rsid w:val="004064B0"/>
    <w:rsid w:val="00442522"/>
    <w:rsid w:val="00446C48"/>
    <w:rsid w:val="004506C1"/>
    <w:rsid w:val="00483216"/>
    <w:rsid w:val="004B50AB"/>
    <w:rsid w:val="004C0E13"/>
    <w:rsid w:val="004C7294"/>
    <w:rsid w:val="004E2491"/>
    <w:rsid w:val="0050295F"/>
    <w:rsid w:val="00517CB0"/>
    <w:rsid w:val="005265D1"/>
    <w:rsid w:val="00542E6B"/>
    <w:rsid w:val="00544B52"/>
    <w:rsid w:val="00553D98"/>
    <w:rsid w:val="00573695"/>
    <w:rsid w:val="005924CA"/>
    <w:rsid w:val="005A17FE"/>
    <w:rsid w:val="005D2A57"/>
    <w:rsid w:val="005D7716"/>
    <w:rsid w:val="005F1D6F"/>
    <w:rsid w:val="00600867"/>
    <w:rsid w:val="00604479"/>
    <w:rsid w:val="00697C67"/>
    <w:rsid w:val="006B1195"/>
    <w:rsid w:val="0070464E"/>
    <w:rsid w:val="007046FB"/>
    <w:rsid w:val="0072269E"/>
    <w:rsid w:val="0074590C"/>
    <w:rsid w:val="00795816"/>
    <w:rsid w:val="007973F7"/>
    <w:rsid w:val="008214F1"/>
    <w:rsid w:val="00831412"/>
    <w:rsid w:val="008337E9"/>
    <w:rsid w:val="00836EF3"/>
    <w:rsid w:val="008E14D2"/>
    <w:rsid w:val="008F09FB"/>
    <w:rsid w:val="009000B8"/>
    <w:rsid w:val="009118AE"/>
    <w:rsid w:val="00966590"/>
    <w:rsid w:val="0097335E"/>
    <w:rsid w:val="00984650"/>
    <w:rsid w:val="00986534"/>
    <w:rsid w:val="00992608"/>
    <w:rsid w:val="00993B53"/>
    <w:rsid w:val="00997642"/>
    <w:rsid w:val="009C11FC"/>
    <w:rsid w:val="009D39C0"/>
    <w:rsid w:val="009E099C"/>
    <w:rsid w:val="009F2EBB"/>
    <w:rsid w:val="00A224D0"/>
    <w:rsid w:val="00A31542"/>
    <w:rsid w:val="00A718D6"/>
    <w:rsid w:val="00A71EBF"/>
    <w:rsid w:val="00A86428"/>
    <w:rsid w:val="00AA1918"/>
    <w:rsid w:val="00AC28FF"/>
    <w:rsid w:val="00AD3A55"/>
    <w:rsid w:val="00AF1B7F"/>
    <w:rsid w:val="00B11C67"/>
    <w:rsid w:val="00B24A5D"/>
    <w:rsid w:val="00B43D60"/>
    <w:rsid w:val="00B5675B"/>
    <w:rsid w:val="00B64731"/>
    <w:rsid w:val="00B677C1"/>
    <w:rsid w:val="00B70A63"/>
    <w:rsid w:val="00BB7505"/>
    <w:rsid w:val="00BC0455"/>
    <w:rsid w:val="00BD7F96"/>
    <w:rsid w:val="00BE03DA"/>
    <w:rsid w:val="00BF085B"/>
    <w:rsid w:val="00C018A3"/>
    <w:rsid w:val="00C12B98"/>
    <w:rsid w:val="00CA5B10"/>
    <w:rsid w:val="00CC0B0B"/>
    <w:rsid w:val="00CD0C38"/>
    <w:rsid w:val="00CE1CB5"/>
    <w:rsid w:val="00CF6B8B"/>
    <w:rsid w:val="00D1279E"/>
    <w:rsid w:val="00D25025"/>
    <w:rsid w:val="00D404E9"/>
    <w:rsid w:val="00D430A5"/>
    <w:rsid w:val="00D91F32"/>
    <w:rsid w:val="00D93AD6"/>
    <w:rsid w:val="00D94775"/>
    <w:rsid w:val="00DA04B1"/>
    <w:rsid w:val="00DA7F86"/>
    <w:rsid w:val="00DD3F49"/>
    <w:rsid w:val="00DE12E2"/>
    <w:rsid w:val="00DE5588"/>
    <w:rsid w:val="00DF4566"/>
    <w:rsid w:val="00DF6E5E"/>
    <w:rsid w:val="00E01930"/>
    <w:rsid w:val="00E05813"/>
    <w:rsid w:val="00E162B1"/>
    <w:rsid w:val="00E30B1E"/>
    <w:rsid w:val="00E33F19"/>
    <w:rsid w:val="00E3509F"/>
    <w:rsid w:val="00E461DD"/>
    <w:rsid w:val="00E64984"/>
    <w:rsid w:val="00E737FC"/>
    <w:rsid w:val="00E9719F"/>
    <w:rsid w:val="00EA3A32"/>
    <w:rsid w:val="00EB4067"/>
    <w:rsid w:val="00EC5D9C"/>
    <w:rsid w:val="00EC6247"/>
    <w:rsid w:val="00EE4A5F"/>
    <w:rsid w:val="00F04E7B"/>
    <w:rsid w:val="00F56564"/>
    <w:rsid w:val="00F7449A"/>
    <w:rsid w:val="00F95D89"/>
    <w:rsid w:val="00FD090C"/>
    <w:rsid w:val="00FD1F12"/>
    <w:rsid w:val="00FE0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B7F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9006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0067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067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74B6F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74B6F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DD3F49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E03DA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E03DA"/>
    <w:rPr>
      <w:rFonts w:ascii="Tahoma" w:eastAsiaTheme="majorEastAsia" w:hAnsi="Tahoma" w:cstheme="majorBidi"/>
      <w:b/>
      <w:spacing w:val="5"/>
      <w:kern w:val="28"/>
      <w:sz w:val="52"/>
      <w:szCs w:val="52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B7F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9006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0067"/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0067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74B6F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74B6F"/>
    <w:rPr>
      <w:color w:val="800080" w:themeColor="followedHyperlink"/>
      <w:u w:val="single"/>
    </w:rPr>
  </w:style>
  <w:style w:type="paragraph" w:styleId="Sansinterligne">
    <w:name w:val="No Spacing"/>
    <w:uiPriority w:val="1"/>
    <w:qFormat/>
    <w:rsid w:val="00DD3F49"/>
    <w:pPr>
      <w:spacing w:after="0" w:line="240" w:lineRule="auto"/>
    </w:pPr>
    <w:rPr>
      <w:rFonts w:ascii="Tahoma" w:eastAsia="Times New Roman" w:hAnsi="Tahoma" w:cs="Times New Roman"/>
      <w:sz w:val="20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E03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E03DA"/>
    <w:rPr>
      <w:rFonts w:ascii="Tahoma" w:eastAsia="Times New Roman" w:hAnsi="Tahoma" w:cs="Times New Roman"/>
      <w:sz w:val="20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BE03DA"/>
    <w:pPr>
      <w:spacing w:after="300"/>
      <w:contextualSpacing/>
      <w:jc w:val="center"/>
    </w:pPr>
    <w:rPr>
      <w:rFonts w:eastAsiaTheme="majorEastAsia" w:cstheme="majorBidi"/>
      <w:b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E03DA"/>
    <w:rPr>
      <w:rFonts w:ascii="Tahoma" w:eastAsiaTheme="majorEastAsia" w:hAnsi="Tahoma" w:cstheme="majorBidi"/>
      <w:b/>
      <w:spacing w:val="5"/>
      <w:kern w:val="28"/>
      <w:sz w:val="52"/>
      <w:szCs w:val="5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15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hpceurop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1</Pages>
  <Words>192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</dc:creator>
  <cp:lastModifiedBy>EP</cp:lastModifiedBy>
  <cp:revision>14</cp:revision>
  <cp:lastPrinted>2017-09-20T08:56:00Z</cp:lastPrinted>
  <dcterms:created xsi:type="dcterms:W3CDTF">2015-10-22T12:31:00Z</dcterms:created>
  <dcterms:modified xsi:type="dcterms:W3CDTF">2018-01-09T09:40:00Z</dcterms:modified>
</cp:coreProperties>
</file>